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40" w:rsidRPr="00A25AFC" w:rsidRDefault="005E2040" w:rsidP="005E2040">
      <w:r w:rsidRPr="00A25AFC">
        <w:rPr>
          <w:noProof/>
          <w:lang w:eastAsia="zh-CN"/>
        </w:rPr>
        <w:drawing>
          <wp:inline distT="0" distB="0" distL="0" distR="0" wp14:anchorId="7F3D3606" wp14:editId="6A4E7D43">
            <wp:extent cx="1828800" cy="6339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RI_logo_4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040" w:rsidRPr="00A25AFC" w:rsidRDefault="005E2040" w:rsidP="005E2040">
      <w:r w:rsidRPr="00A25AF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8618F" wp14:editId="08338C36">
                <wp:simplePos x="0" y="0"/>
                <wp:positionH relativeFrom="column">
                  <wp:posOffset>18415</wp:posOffset>
                </wp:positionH>
                <wp:positionV relativeFrom="paragraph">
                  <wp:posOffset>116840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B2A416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5pt,9.2pt" to="469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5E2040" w:rsidRPr="00A25AFC" w:rsidRDefault="005E2040" w:rsidP="005E2040">
      <w:pPr>
        <w:pStyle w:val="sidebarcopy"/>
        <w:spacing w:line="276" w:lineRule="auto"/>
        <w:ind w:right="-780"/>
        <w:rPr>
          <w:rFonts w:ascii="Cambria" w:hAnsi="Cambria"/>
        </w:rPr>
      </w:pPr>
      <w:r w:rsidRPr="00A25AFC">
        <w:rPr>
          <w:rFonts w:ascii="Cambria" w:hAnsi="Cambria"/>
          <w:color w:val="626366"/>
          <w:sz w:val="15"/>
          <w:szCs w:val="15"/>
        </w:rPr>
        <w:t xml:space="preserve">          10 G Street, NE Suite 800     Washington, DC 20002     USA     (PH) +1 (202) 729-7600     (FAX) +1 (202) 729-7610     www.WRI.org</w:t>
      </w:r>
    </w:p>
    <w:p w:rsidR="005E2040" w:rsidRPr="00A25AFC" w:rsidRDefault="005E2040" w:rsidP="005E2040">
      <w:pPr>
        <w:spacing w:after="120"/>
        <w:ind w:left="0" w:firstLine="0"/>
      </w:pPr>
    </w:p>
    <w:p w:rsidR="00200CCA" w:rsidRDefault="00200CCA" w:rsidP="005E2040">
      <w:pPr>
        <w:spacing w:after="120"/>
        <w:ind w:left="0" w:firstLine="0"/>
        <w:jc w:val="center"/>
        <w:rPr>
          <w:b/>
        </w:rPr>
      </w:pPr>
    </w:p>
    <w:p w:rsidR="005E2040" w:rsidRPr="00A25AFC" w:rsidRDefault="00E33635" w:rsidP="005E2040">
      <w:pPr>
        <w:spacing w:after="120"/>
        <w:ind w:left="0" w:firstLine="0"/>
        <w:jc w:val="center"/>
        <w:rPr>
          <w:b/>
        </w:rPr>
      </w:pPr>
      <w:r>
        <w:rPr>
          <w:b/>
        </w:rPr>
        <w:t xml:space="preserve">Global Forest Watch </w:t>
      </w:r>
      <w:r w:rsidR="005E2040" w:rsidRPr="00A25AFC">
        <w:rPr>
          <w:b/>
        </w:rPr>
        <w:t>Water:</w:t>
      </w:r>
    </w:p>
    <w:p w:rsidR="00002039" w:rsidRDefault="00183C27" w:rsidP="00B071D8">
      <w:pPr>
        <w:spacing w:after="120"/>
        <w:ind w:left="0" w:firstLine="0"/>
        <w:jc w:val="center"/>
        <w:rPr>
          <w:b/>
        </w:rPr>
      </w:pPr>
      <w:r w:rsidRPr="00A25AFC">
        <w:rPr>
          <w:b/>
        </w:rPr>
        <w:t xml:space="preserve">Empowering the World </w:t>
      </w:r>
      <w:r w:rsidR="0016412D" w:rsidRPr="00A25AFC">
        <w:rPr>
          <w:b/>
        </w:rPr>
        <w:t>for Healthy Watersheds</w:t>
      </w:r>
    </w:p>
    <w:p w:rsidR="00690C26" w:rsidRPr="00002039" w:rsidRDefault="00690C26" w:rsidP="00B071D8">
      <w:pPr>
        <w:spacing w:after="120"/>
        <w:ind w:left="0" w:firstLine="0"/>
        <w:jc w:val="center"/>
        <w:rPr>
          <w:b/>
        </w:rPr>
      </w:pPr>
    </w:p>
    <w:p w:rsidR="0009093B" w:rsidRDefault="008F7F04" w:rsidP="008F7F04">
      <w:pPr>
        <w:spacing w:after="120"/>
        <w:ind w:left="0" w:firstLine="0"/>
      </w:pPr>
      <w:r w:rsidRPr="00A25AFC">
        <w:t xml:space="preserve">The World Resource Institute (WRI) is developing a new global mapping platform to empower stewards of watersheds – citizens, governments, and business – around the world to take action to improve watershed health. Joining WRI’s suite of applications of the interactive online forest monitoring system </w:t>
      </w:r>
      <w:hyperlink r:id="rId8" w:history="1">
        <w:r w:rsidRPr="00A25AFC">
          <w:rPr>
            <w:rStyle w:val="Hyperlink"/>
            <w:color w:val="auto"/>
          </w:rPr>
          <w:t>Global Forest Watch</w:t>
        </w:r>
      </w:hyperlink>
      <w:r w:rsidR="00E33635">
        <w:t xml:space="preserve"> (GFW) as GFW </w:t>
      </w:r>
      <w:r w:rsidRPr="00A25AFC">
        <w:t xml:space="preserve">Water, this publicly available tool will allow anyone with internet access to visualize </w:t>
      </w:r>
      <w:r w:rsidR="00F42E22">
        <w:t xml:space="preserve">critical </w:t>
      </w:r>
      <w:r w:rsidRPr="00A25AFC">
        <w:t>watershed related information, threats to watershed health, and screen for cost-ef</w:t>
      </w:r>
      <w:r w:rsidR="0009093B">
        <w:t>fective, sustainable solutions.</w:t>
      </w:r>
    </w:p>
    <w:p w:rsidR="0054538C" w:rsidRPr="00A25AFC" w:rsidRDefault="0054538C" w:rsidP="008F7F04">
      <w:pPr>
        <w:spacing w:after="120"/>
        <w:ind w:left="0" w:firstLine="0"/>
      </w:pPr>
    </w:p>
    <w:p w:rsidR="00A25AFC" w:rsidRPr="00B210BF" w:rsidRDefault="00A25AFC" w:rsidP="008F7F04">
      <w:pPr>
        <w:spacing w:after="120"/>
        <w:ind w:left="0" w:firstLine="0"/>
        <w:rPr>
          <w:b/>
          <w:caps/>
        </w:rPr>
      </w:pPr>
      <w:r w:rsidRPr="00B210BF">
        <w:rPr>
          <w:b/>
          <w:caps/>
        </w:rPr>
        <w:t>The Challenge</w:t>
      </w:r>
    </w:p>
    <w:p w:rsidR="0054538C" w:rsidRDefault="0054538C" w:rsidP="0009093B">
      <w:pPr>
        <w:spacing w:after="120"/>
        <w:ind w:left="0" w:firstLine="0"/>
      </w:pPr>
      <w:r w:rsidRPr="0054538C">
        <w:t xml:space="preserve">By 2030, the world </w:t>
      </w:r>
      <w:proofErr w:type="gramStart"/>
      <w:r w:rsidRPr="0054538C">
        <w:t>is projected</w:t>
      </w:r>
      <w:proofErr w:type="gramEnd"/>
      <w:r w:rsidRPr="0054538C">
        <w:t xml:space="preserve"> to spend </w:t>
      </w:r>
      <w:r w:rsidR="00A71D39">
        <w:t>an estimated</w:t>
      </w:r>
      <w:r w:rsidRPr="0054538C">
        <w:t xml:space="preserve"> $10 trillion on repairing and expanding water infrastructure. As water demand surges, dams and treatment plants age, and </w:t>
      </w:r>
      <w:proofErr w:type="gramStart"/>
      <w:r w:rsidRPr="0054538C">
        <w:t>more frequent extreme weather</w:t>
      </w:r>
      <w:proofErr w:type="gramEnd"/>
      <w:r w:rsidRPr="0054538C">
        <w:t xml:space="preserve"> events threaten our water security and drive up water management costs, need is growing for lower-cost approaches to secure ample and clean water. At the same time, efforts to safeguard water resources with innovative “natural infrastructure” approaches – such as forest protection, watershed restoration, and sustainable management of landscapes – are expanding around the world. </w:t>
      </w:r>
      <w:r w:rsidRPr="00A25AFC">
        <w:t xml:space="preserve">These solutions are often easier on ecosystems, human communities and bank accounts than traditional energy-intensive, hard infrastructure </w:t>
      </w:r>
      <w:r>
        <w:t>approaches.</w:t>
      </w:r>
    </w:p>
    <w:p w:rsidR="0009093B" w:rsidRDefault="00A839D5" w:rsidP="0009093B">
      <w:pPr>
        <w:spacing w:after="120"/>
        <w:ind w:left="0" w:firstLine="0"/>
      </w:pPr>
      <w:proofErr w:type="gramStart"/>
      <w:r>
        <w:t>But</w:t>
      </w:r>
      <w:proofErr w:type="gramEnd"/>
      <w:r>
        <w:t xml:space="preserve"> i</w:t>
      </w:r>
      <w:r w:rsidR="0056153F" w:rsidRPr="00A25AFC">
        <w:t xml:space="preserve">nformation on both threats and solutions is often scattered or presented in unfriendly forms. </w:t>
      </w:r>
      <w:r w:rsidR="00E33635">
        <w:t xml:space="preserve">GFW </w:t>
      </w:r>
      <w:r w:rsidR="0054538C">
        <w:t>Water</w:t>
      </w:r>
      <w:r w:rsidR="008F7F04" w:rsidRPr="00A25AFC">
        <w:t xml:space="preserve"> seek</w:t>
      </w:r>
      <w:r w:rsidR="0054538C">
        <w:t>s</w:t>
      </w:r>
      <w:r w:rsidR="008F7F04" w:rsidRPr="00A25AFC">
        <w:t xml:space="preserve"> to overcome these obstacles </w:t>
      </w:r>
      <w:r w:rsidR="0054538C">
        <w:t xml:space="preserve">building on </w:t>
      </w:r>
      <w:r w:rsidR="008F7F04" w:rsidRPr="00A25AFC">
        <w:t>remarkable advances in</w:t>
      </w:r>
      <w:r w:rsidR="0054538C">
        <w:t xml:space="preserve"> </w:t>
      </w:r>
      <w:r w:rsidR="0054538C" w:rsidRPr="00A25AFC">
        <w:t>satellite remote sensing</w:t>
      </w:r>
      <w:r w:rsidR="0054538C">
        <w:t xml:space="preserve"> as well as</w:t>
      </w:r>
      <w:r w:rsidR="008F7F04" w:rsidRPr="00A25AFC">
        <w:t xml:space="preserve"> data aggregation, visualization, and distribution. </w:t>
      </w:r>
      <w:r w:rsidR="00E33635">
        <w:t xml:space="preserve">Using GFW </w:t>
      </w:r>
      <w:r w:rsidR="00A25AFC" w:rsidRPr="00A25AFC">
        <w:t xml:space="preserve">Water, </w:t>
      </w:r>
      <w:r w:rsidR="008F7F04" w:rsidRPr="00A25AFC">
        <w:t>anyone will be able to gain access to information</w:t>
      </w:r>
      <w:r w:rsidR="00A25AFC" w:rsidRPr="00A25AFC">
        <w:t xml:space="preserve"> </w:t>
      </w:r>
      <w:r w:rsidR="008F7F04" w:rsidRPr="00A25AFC">
        <w:t>that WRI and our partners stitch together into a</w:t>
      </w:r>
      <w:r w:rsidR="00A25AFC" w:rsidRPr="00A25AFC">
        <w:t xml:space="preserve"> </w:t>
      </w:r>
      <w:r w:rsidR="008F7F04" w:rsidRPr="00A25AFC">
        <w:t>meaningful whole</w:t>
      </w:r>
      <w:r w:rsidR="00A25AFC" w:rsidRPr="00A25AFC">
        <w:t xml:space="preserve">. </w:t>
      </w:r>
    </w:p>
    <w:p w:rsidR="0054538C" w:rsidRPr="0009093B" w:rsidRDefault="0054538C" w:rsidP="0009093B">
      <w:pPr>
        <w:spacing w:after="120"/>
        <w:ind w:left="0" w:firstLine="0"/>
      </w:pPr>
    </w:p>
    <w:p w:rsidR="00A25AFC" w:rsidRPr="00B210BF" w:rsidRDefault="00A25AFC" w:rsidP="00A25AFC">
      <w:pPr>
        <w:spacing w:after="120"/>
        <w:ind w:left="720" w:hanging="720"/>
        <w:rPr>
          <w:b/>
          <w:caps/>
        </w:rPr>
      </w:pPr>
      <w:r w:rsidRPr="00B210BF">
        <w:rPr>
          <w:b/>
          <w:caps/>
        </w:rPr>
        <w:t>The Data</w:t>
      </w:r>
    </w:p>
    <w:p w:rsidR="0054538C" w:rsidRDefault="00E33635" w:rsidP="0009093B">
      <w:pPr>
        <w:spacing w:after="120"/>
        <w:ind w:left="0" w:firstLine="0"/>
      </w:pPr>
      <w:r>
        <w:t xml:space="preserve">GFW </w:t>
      </w:r>
      <w:r w:rsidR="008F7F04" w:rsidRPr="00A25AFC">
        <w:t xml:space="preserve">Water </w:t>
      </w:r>
      <w:r w:rsidR="00A25AFC" w:rsidRPr="00A25AFC">
        <w:t>presents credible, relevant, and timely information to help users improve watershed health in three parts</w:t>
      </w:r>
      <w:r w:rsidR="001976BD">
        <w:t xml:space="preserve"> (Figure 1.)</w:t>
      </w:r>
      <w:r w:rsidR="00A25AFC" w:rsidRPr="00A25AFC">
        <w:t>:</w:t>
      </w:r>
    </w:p>
    <w:p w:rsidR="00200CCA" w:rsidRDefault="00200CCA" w:rsidP="0009093B">
      <w:pPr>
        <w:spacing w:after="120"/>
        <w:ind w:left="0" w:firstLine="0"/>
      </w:pPr>
    </w:p>
    <w:p w:rsidR="0054538C" w:rsidRPr="0009093B" w:rsidRDefault="00A25AFC" w:rsidP="0009093B">
      <w:pPr>
        <w:spacing w:after="120"/>
        <w:ind w:left="0" w:firstLine="0"/>
      </w:pPr>
      <w:r w:rsidRPr="0009093B">
        <w:rPr>
          <w:b/>
          <w:i/>
        </w:rPr>
        <w:lastRenderedPageBreak/>
        <w:t>Know Your Watershed</w:t>
      </w:r>
      <w:r w:rsidRPr="0009093B">
        <w:t xml:space="preserve">: </w:t>
      </w:r>
      <w:r w:rsidR="00A839D5" w:rsidRPr="0009093B">
        <w:t xml:space="preserve">Navigate users to visualize </w:t>
      </w:r>
      <w:r w:rsidR="00200CCA">
        <w:t xml:space="preserve">critical </w:t>
      </w:r>
      <w:r w:rsidR="00A839D5" w:rsidRPr="0009093B">
        <w:t>watershed related information and locate important water infrastructure:</w:t>
      </w:r>
    </w:p>
    <w:tbl>
      <w:tblPr>
        <w:tblW w:w="9307" w:type="dxa"/>
        <w:tblInd w:w="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2790"/>
        <w:gridCol w:w="1980"/>
        <w:gridCol w:w="2700"/>
      </w:tblGrid>
      <w:tr w:rsidR="00F42E22" w:rsidRPr="00AB2AF8" w:rsidTr="00E27722">
        <w:trPr>
          <w:trHeight w:val="215"/>
        </w:trPr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2E22" w:rsidRPr="00B071D8" w:rsidRDefault="00F42E22" w:rsidP="008A58B1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Layer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bottom"/>
          </w:tcPr>
          <w:p w:rsidR="00F42E22" w:rsidRPr="00B071D8" w:rsidRDefault="00F42E22" w:rsidP="008A58B1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Description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bottom"/>
          </w:tcPr>
          <w:p w:rsidR="00F42E22" w:rsidRPr="00B071D8" w:rsidRDefault="00F42E22" w:rsidP="008A58B1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Resolution/Scale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bottom"/>
          </w:tcPr>
          <w:p w:rsidR="00F42E22" w:rsidRPr="00B071D8" w:rsidRDefault="00F42E22" w:rsidP="008A58B1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Geographic Coverage</w:t>
            </w:r>
          </w:p>
        </w:tc>
      </w:tr>
      <w:tr w:rsidR="00F42E22" w:rsidRPr="00AB2AF8" w:rsidTr="00E27722">
        <w:trPr>
          <w:trHeight w:val="215"/>
        </w:trPr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Rivers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Major rivers and tributaries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1:147 million to 1:2.</w:t>
            </w:r>
            <w:r w:rsidRPr="00B071D8">
              <w:rPr>
                <w:rFonts w:ascii="Agency FB" w:hAnsi="Agency FB"/>
                <w:color w:val="262626" w:themeColor="text1" w:themeTint="D9"/>
              </w:rPr>
              <w:t>3 million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Global</w:t>
            </w:r>
          </w:p>
        </w:tc>
      </w:tr>
      <w:tr w:rsidR="00F42E22" w:rsidRPr="00AB2AF8" w:rsidTr="00E27722">
        <w:trPr>
          <w:trHeight w:val="215"/>
        </w:trPr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Wetlands &amp; Lakes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Large lakes and reservoirs, smaller water bodies, and wetlands.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30 x 30 arc second</w:t>
            </w:r>
            <w:r>
              <w:rPr>
                <w:rFonts w:ascii="Agency FB" w:hAnsi="Agency FB"/>
                <w:color w:val="262626" w:themeColor="text1" w:themeTint="D9"/>
              </w:rPr>
              <w:t xml:space="preserve"> (approx. 900 meters)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Global</w:t>
            </w:r>
          </w:p>
        </w:tc>
      </w:tr>
      <w:tr w:rsidR="00F42E22" w:rsidRPr="00AB2AF8" w:rsidTr="00E27722">
        <w:trPr>
          <w:trHeight w:val="215"/>
        </w:trPr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Tree Cover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A</w:t>
            </w:r>
            <w:r w:rsidRPr="00B071D8">
              <w:rPr>
                <w:rFonts w:ascii="Agency FB" w:hAnsi="Agency FB"/>
                <w:color w:val="262626" w:themeColor="text1" w:themeTint="D9"/>
              </w:rPr>
              <w:t>reas of tree cover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30 × 30 meters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A06CAF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Global land (excluding Antarctica and Arctic islands)</w:t>
            </w:r>
          </w:p>
        </w:tc>
      </w:tr>
      <w:tr w:rsidR="00E27722" w:rsidRPr="00AB2AF8" w:rsidTr="00E27722">
        <w:trPr>
          <w:trHeight w:val="215"/>
        </w:trPr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27722" w:rsidRPr="00B071D8" w:rsidRDefault="00E277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Potential Tree Cover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7722" w:rsidRDefault="00C043EC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P</w:t>
            </w:r>
            <w:r w:rsidR="00E27722">
              <w:rPr>
                <w:rFonts w:ascii="Agency FB" w:hAnsi="Agency FB"/>
                <w:color w:val="262626" w:themeColor="text1" w:themeTint="D9"/>
              </w:rPr>
              <w:t>otential extent of tree cover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7722" w:rsidRDefault="00E27722" w:rsidP="00E27722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30 arc second</w:t>
            </w:r>
          </w:p>
          <w:p w:rsidR="00E27722" w:rsidRPr="00B071D8" w:rsidRDefault="00E27722" w:rsidP="00E27722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(approx. 900 meters)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7722" w:rsidRPr="00B071D8" w:rsidRDefault="00A06CAF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Global land (excluding Antarctica and Arctic islands)</w:t>
            </w:r>
          </w:p>
        </w:tc>
      </w:tr>
      <w:tr w:rsidR="00A06CAF" w:rsidRPr="00AB2AF8" w:rsidTr="00E27722">
        <w:trPr>
          <w:trHeight w:val="215"/>
        </w:trPr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6CAF" w:rsidRDefault="00A06CAF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Land Cover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6CAF" w:rsidRDefault="00A06CAF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 xml:space="preserve">Land cover categories 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6CAF" w:rsidRDefault="00A06CAF" w:rsidP="00A06CAF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30 arc second</w:t>
            </w:r>
          </w:p>
          <w:p w:rsidR="00A06CAF" w:rsidRDefault="00A06CAF" w:rsidP="00A06CAF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(approx. 300 meters)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6CAF" w:rsidRDefault="00A06CAF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Global land (excluding Antarctica and Arctic islands)</w:t>
            </w:r>
          </w:p>
        </w:tc>
      </w:tr>
      <w:tr w:rsidR="00F42E22" w:rsidRPr="00AB2AF8" w:rsidTr="00E27722">
        <w:trPr>
          <w:trHeight w:val="215"/>
        </w:trPr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Major Dams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 xml:space="preserve">Location and status of dams 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Varies by country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50 major river basins</w:t>
            </w:r>
          </w:p>
        </w:tc>
      </w:tr>
      <w:tr w:rsidR="00F42E22" w:rsidRPr="00AB2AF8" w:rsidTr="00E27722">
        <w:trPr>
          <w:trHeight w:val="215"/>
        </w:trPr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Water Withdrawal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W</w:t>
            </w:r>
            <w:r w:rsidRPr="00690C26">
              <w:rPr>
                <w:rFonts w:ascii="Agency FB" w:hAnsi="Agency FB"/>
                <w:color w:val="262626" w:themeColor="text1" w:themeTint="D9"/>
              </w:rPr>
              <w:t>ater withdrawal locations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B071D8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690C26">
              <w:rPr>
                <w:rFonts w:ascii="Agency FB" w:hAnsi="Agency FB"/>
                <w:color w:val="262626" w:themeColor="text1" w:themeTint="D9"/>
              </w:rPr>
              <w:t>Varies by country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690C26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 xml:space="preserve">Select </w:t>
            </w:r>
            <w:r w:rsidRPr="00690C26">
              <w:rPr>
                <w:rFonts w:ascii="Agency FB" w:hAnsi="Agency FB"/>
                <w:color w:val="262626" w:themeColor="text1" w:themeTint="D9"/>
              </w:rPr>
              <w:t>250</w:t>
            </w:r>
            <w:r>
              <w:rPr>
                <w:rFonts w:ascii="Agency FB" w:hAnsi="Agency FB"/>
                <w:color w:val="262626" w:themeColor="text1" w:themeTint="D9"/>
              </w:rPr>
              <w:t xml:space="preserve"> +</w:t>
            </w:r>
            <w:r w:rsidRPr="00690C26">
              <w:rPr>
                <w:rFonts w:ascii="Agency FB" w:hAnsi="Agency FB"/>
                <w:color w:val="262626" w:themeColor="text1" w:themeTint="D9"/>
              </w:rPr>
              <w:t xml:space="preserve"> cities with a population greater than 750</w:t>
            </w:r>
            <w:r>
              <w:rPr>
                <w:rFonts w:ascii="Agency FB" w:hAnsi="Agency FB"/>
                <w:color w:val="262626" w:themeColor="text1" w:themeTint="D9"/>
              </w:rPr>
              <w:t xml:space="preserve"> K</w:t>
            </w:r>
          </w:p>
        </w:tc>
      </w:tr>
    </w:tbl>
    <w:p w:rsidR="0009093B" w:rsidRDefault="0009093B" w:rsidP="0009093B">
      <w:pPr>
        <w:spacing w:after="120"/>
        <w:ind w:left="0" w:firstLine="0"/>
        <w:rPr>
          <w:b/>
          <w:i/>
        </w:rPr>
      </w:pPr>
    </w:p>
    <w:p w:rsidR="00A839D5" w:rsidRPr="0009093B" w:rsidRDefault="00002039" w:rsidP="0009093B">
      <w:pPr>
        <w:spacing w:after="120"/>
        <w:ind w:left="0" w:firstLine="0"/>
      </w:pPr>
      <w:r w:rsidRPr="0009093B">
        <w:rPr>
          <w:b/>
          <w:i/>
        </w:rPr>
        <w:t>Identify Watershed Risks</w:t>
      </w:r>
      <w:r w:rsidRPr="0009093B">
        <w:t>:</w:t>
      </w:r>
      <w:r w:rsidR="003057F3" w:rsidRPr="0009093B">
        <w:t xml:space="preserve"> Help users understand the type and severity of threats to watershed health:</w:t>
      </w:r>
    </w:p>
    <w:tbl>
      <w:tblPr>
        <w:tblW w:w="9217" w:type="dxa"/>
        <w:tblInd w:w="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2610"/>
        <w:gridCol w:w="2160"/>
        <w:gridCol w:w="2610"/>
      </w:tblGrid>
      <w:tr w:rsidR="00F42E22" w:rsidRPr="00AB2AF8" w:rsidTr="00F42E22">
        <w:trPr>
          <w:trHeight w:val="215"/>
        </w:trPr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2E22" w:rsidRPr="00B071D8" w:rsidRDefault="00F42E22" w:rsidP="008A58B1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Layer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bottom"/>
          </w:tcPr>
          <w:p w:rsidR="00F42E22" w:rsidRPr="00B071D8" w:rsidRDefault="00F42E22" w:rsidP="008A58B1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Description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bottom"/>
          </w:tcPr>
          <w:p w:rsidR="00F42E22" w:rsidRPr="00B071D8" w:rsidRDefault="00F42E22" w:rsidP="008A58B1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Resolution/Scale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bottom"/>
          </w:tcPr>
          <w:p w:rsidR="00F42E22" w:rsidRPr="00B071D8" w:rsidRDefault="00F42E22" w:rsidP="008A58B1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B071D8">
              <w:rPr>
                <w:rFonts w:ascii="Agency FB" w:hAnsi="Agency FB"/>
                <w:color w:val="262626" w:themeColor="text1" w:themeTint="D9"/>
              </w:rPr>
              <w:t>Geographic Coverage</w:t>
            </w:r>
          </w:p>
        </w:tc>
      </w:tr>
      <w:tr w:rsidR="00F42E22" w:rsidRPr="00AB2AF8" w:rsidTr="00F42E22">
        <w:trPr>
          <w:trHeight w:val="215"/>
        </w:trPr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Tree Cover Loss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A</w:t>
            </w:r>
            <w:r w:rsidRPr="003057F3">
              <w:rPr>
                <w:rFonts w:ascii="Agency FB" w:hAnsi="Agency FB"/>
                <w:color w:val="262626" w:themeColor="text1" w:themeTint="D9"/>
              </w:rPr>
              <w:t>reas of gross tree cover loss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3057F3">
              <w:rPr>
                <w:rFonts w:ascii="Agency FB" w:hAnsi="Agency FB"/>
                <w:color w:val="262626" w:themeColor="text1" w:themeTint="D9"/>
              </w:rPr>
              <w:t>30 × 30 meters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3057F3">
              <w:rPr>
                <w:rFonts w:ascii="Agency FB" w:hAnsi="Agency FB"/>
                <w:color w:val="262626" w:themeColor="text1" w:themeTint="D9"/>
              </w:rPr>
              <w:t>Global land (excluding Antarctica and other Arctic islands)</w:t>
            </w:r>
          </w:p>
        </w:tc>
      </w:tr>
      <w:tr w:rsidR="00F42E22" w:rsidRPr="00AB2AF8" w:rsidTr="00F42E22">
        <w:trPr>
          <w:trHeight w:val="215"/>
        </w:trPr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Tree Cover Gain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A</w:t>
            </w:r>
            <w:r w:rsidRPr="003057F3">
              <w:rPr>
                <w:rFonts w:ascii="Agency FB" w:hAnsi="Agency FB"/>
                <w:color w:val="262626" w:themeColor="text1" w:themeTint="D9"/>
              </w:rPr>
              <w:t>reas of tree cover gain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3057F3">
              <w:rPr>
                <w:rFonts w:ascii="Agency FB" w:hAnsi="Agency FB"/>
                <w:color w:val="262626" w:themeColor="text1" w:themeTint="D9"/>
              </w:rPr>
              <w:t>30 × 30 meters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3057F3">
              <w:rPr>
                <w:rFonts w:ascii="Agency FB" w:hAnsi="Agency FB"/>
                <w:color w:val="262626" w:themeColor="text1" w:themeTint="D9"/>
              </w:rPr>
              <w:t>Global land (excluding Antarctica and other Arctic islands)</w:t>
            </w:r>
          </w:p>
        </w:tc>
      </w:tr>
      <w:tr w:rsidR="00F42E22" w:rsidRPr="00AB2AF8" w:rsidTr="00F42E22">
        <w:trPr>
          <w:trHeight w:val="215"/>
        </w:trPr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Sedimentation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Areas of high sedimentation potential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15 arc second</w:t>
            </w:r>
          </w:p>
          <w:p w:rsidR="00F42E22" w:rsidRPr="00B071D8" w:rsidRDefault="00F42E22" w:rsidP="00F42E22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(approx. 450 meters)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Global</w:t>
            </w:r>
          </w:p>
        </w:tc>
      </w:tr>
      <w:tr w:rsidR="00F42E22" w:rsidRPr="00AB2AF8" w:rsidTr="00F42E22">
        <w:trPr>
          <w:trHeight w:val="215"/>
        </w:trPr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Active Fire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F</w:t>
            </w:r>
            <w:r w:rsidRPr="003057F3">
              <w:rPr>
                <w:rFonts w:ascii="Agency FB" w:hAnsi="Agency FB"/>
                <w:color w:val="262626" w:themeColor="text1" w:themeTint="D9"/>
              </w:rPr>
              <w:t>ire alert data for the past 7 days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3057F3">
              <w:rPr>
                <w:rFonts w:ascii="Agency FB" w:hAnsi="Agency FB"/>
                <w:color w:val="262626" w:themeColor="text1" w:themeTint="D9"/>
              </w:rPr>
              <w:t>1 × 1 kilometer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Global</w:t>
            </w:r>
          </w:p>
        </w:tc>
      </w:tr>
      <w:tr w:rsidR="00F42E22" w:rsidRPr="00AB2AF8" w:rsidTr="00F42E22">
        <w:trPr>
          <w:trHeight w:val="215"/>
        </w:trPr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2E22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bookmarkStart w:id="0" w:name="_GoBack"/>
            <w:bookmarkEnd w:id="0"/>
            <w:r>
              <w:rPr>
                <w:rFonts w:ascii="Agency FB" w:hAnsi="Agency FB"/>
                <w:color w:val="262626" w:themeColor="text1" w:themeTint="D9"/>
              </w:rPr>
              <w:t>Baseline Water Stress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 xml:space="preserve">Measures </w:t>
            </w:r>
            <w:r w:rsidRPr="00985B90">
              <w:rPr>
                <w:rFonts w:ascii="Agency FB" w:hAnsi="Agency FB"/>
                <w:color w:val="262626" w:themeColor="text1" w:themeTint="D9"/>
              </w:rPr>
              <w:t>relative water demand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>
              <w:rPr>
                <w:rFonts w:ascii="Agency FB" w:hAnsi="Agency FB"/>
                <w:color w:val="262626" w:themeColor="text1" w:themeTint="D9"/>
              </w:rPr>
              <w:t>n/a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42E22" w:rsidRPr="00B071D8" w:rsidRDefault="00F42E22" w:rsidP="003057F3">
            <w:pPr>
              <w:pStyle w:val="PlainText"/>
              <w:ind w:right="45"/>
              <w:jc w:val="center"/>
              <w:rPr>
                <w:rFonts w:ascii="Agency FB" w:hAnsi="Agency FB"/>
                <w:color w:val="262626" w:themeColor="text1" w:themeTint="D9"/>
              </w:rPr>
            </w:pPr>
            <w:r w:rsidRPr="003057F3">
              <w:rPr>
                <w:rFonts w:ascii="Agency FB" w:hAnsi="Agency FB"/>
                <w:color w:val="262626" w:themeColor="text1" w:themeTint="D9"/>
              </w:rPr>
              <w:t>Global land (excluding Antarctica and other Arctic islands)</w:t>
            </w:r>
          </w:p>
        </w:tc>
      </w:tr>
    </w:tbl>
    <w:p w:rsidR="0009093B" w:rsidRDefault="0009093B" w:rsidP="0009093B">
      <w:pPr>
        <w:ind w:left="0" w:firstLine="0"/>
      </w:pPr>
    </w:p>
    <w:p w:rsidR="00985B90" w:rsidRDefault="00002039" w:rsidP="0009093B">
      <w:pPr>
        <w:ind w:left="0" w:firstLine="0"/>
      </w:pPr>
      <w:r w:rsidRPr="0009093B">
        <w:rPr>
          <w:b/>
          <w:i/>
        </w:rPr>
        <w:t>Plan for Action</w:t>
      </w:r>
      <w:r w:rsidRPr="0009093B">
        <w:t xml:space="preserve">: </w:t>
      </w:r>
      <w:r w:rsidR="00985B90" w:rsidRPr="0009093B">
        <w:t>Provide users with relevant recommendations for natural infrastructure strategies</w:t>
      </w:r>
      <w:r w:rsidR="00A5423E">
        <w:t xml:space="preserve"> in watershed conservation, restoration, and sustainable management practices</w:t>
      </w:r>
      <w:r w:rsidR="00985B90" w:rsidRPr="0009093B">
        <w:t xml:space="preserve"> according to watershed risk profile</w:t>
      </w:r>
      <w:r w:rsidR="00A5423E">
        <w:t>.</w:t>
      </w:r>
      <w:r w:rsidR="00985B90" w:rsidRPr="0009093B">
        <w:t xml:space="preserve"> </w:t>
      </w:r>
      <w:r w:rsidR="00A5423E">
        <w:t xml:space="preserve">Empower users with applicable </w:t>
      </w:r>
      <w:r w:rsidR="00985B90" w:rsidRPr="0009093B">
        <w:t xml:space="preserve">guidelines and decision-support frameworks to </w:t>
      </w:r>
      <w:r w:rsidR="00A5423E">
        <w:t xml:space="preserve">help facilitate on-the-ground actions </w:t>
      </w:r>
      <w:r w:rsidR="00985B90" w:rsidRPr="0009093B">
        <w:t xml:space="preserve">to improve watershed health. </w:t>
      </w:r>
    </w:p>
    <w:p w:rsidR="0009093B" w:rsidRPr="00B210BF" w:rsidRDefault="0009093B" w:rsidP="00B210BF">
      <w:pPr>
        <w:ind w:left="0"/>
      </w:pPr>
    </w:p>
    <w:p w:rsidR="00985B90" w:rsidRPr="00B210BF" w:rsidRDefault="00A95C1A" w:rsidP="0009093B">
      <w:pPr>
        <w:spacing w:after="120"/>
        <w:rPr>
          <w:b/>
          <w:caps/>
        </w:rPr>
      </w:pPr>
      <w:r w:rsidRPr="00B210BF">
        <w:rPr>
          <w:b/>
          <w:caps/>
        </w:rPr>
        <w:t xml:space="preserve">Tool </w:t>
      </w:r>
      <w:r w:rsidR="0009093B" w:rsidRPr="00B210BF">
        <w:rPr>
          <w:b/>
          <w:caps/>
        </w:rPr>
        <w:t>Features</w:t>
      </w:r>
    </w:p>
    <w:p w:rsidR="0009093B" w:rsidRDefault="00E33635" w:rsidP="0009093B">
      <w:pPr>
        <w:spacing w:after="120"/>
        <w:ind w:left="0" w:firstLine="0"/>
      </w:pPr>
      <w:r>
        <w:t xml:space="preserve">GFW </w:t>
      </w:r>
      <w:r w:rsidR="0009093B">
        <w:t xml:space="preserve">Water includes </w:t>
      </w:r>
      <w:r w:rsidR="0009093B" w:rsidRPr="0009093B">
        <w:t xml:space="preserve">the following features to </w:t>
      </w:r>
      <w:r w:rsidR="00B210BF">
        <w:t>allow</w:t>
      </w:r>
      <w:r w:rsidR="0009093B" w:rsidRPr="0009093B">
        <w:t xml:space="preserve"> users to </w:t>
      </w:r>
      <w:r w:rsidR="00D83720">
        <w:t>make the best of</w:t>
      </w:r>
      <w:r w:rsidR="0009093B" w:rsidRPr="0009093B">
        <w:t xml:space="preserve"> </w:t>
      </w:r>
      <w:r w:rsidR="0009093B">
        <w:t>never-before-seen</w:t>
      </w:r>
      <w:r w:rsidR="0009093B" w:rsidRPr="0009093B">
        <w:t xml:space="preserve"> information</w:t>
      </w:r>
      <w:r w:rsidR="00B210BF">
        <w:t xml:space="preserve"> to lead to real action for improving watershed health around the world</w:t>
      </w:r>
      <w:r w:rsidR="0009093B" w:rsidRPr="0009093B">
        <w:t>:</w:t>
      </w:r>
    </w:p>
    <w:p w:rsidR="00985B90" w:rsidRPr="0009093B" w:rsidRDefault="00985B90" w:rsidP="0009093B">
      <w:pPr>
        <w:spacing w:after="120"/>
        <w:ind w:left="0" w:firstLine="0"/>
      </w:pPr>
      <w:r w:rsidRPr="0009093B">
        <w:rPr>
          <w:b/>
          <w:i/>
        </w:rPr>
        <w:t>Global comparability</w:t>
      </w:r>
      <w:r w:rsidRPr="0009093B">
        <w:t xml:space="preserve">. All data layers </w:t>
      </w:r>
      <w:r w:rsidR="008B34E9">
        <w:t xml:space="preserve">and analysis </w:t>
      </w:r>
      <w:proofErr w:type="gramStart"/>
      <w:r w:rsidR="008B34E9">
        <w:t>will be applied</w:t>
      </w:r>
      <w:proofErr w:type="gramEnd"/>
      <w:r w:rsidR="008B34E9">
        <w:t xml:space="preserve"> to </w:t>
      </w:r>
      <w:r w:rsidRPr="0009093B">
        <w:t xml:space="preserve">watersheds around the world. </w:t>
      </w:r>
    </w:p>
    <w:p w:rsidR="00985B90" w:rsidRPr="0009093B" w:rsidRDefault="0009093B" w:rsidP="0009093B">
      <w:pPr>
        <w:spacing w:after="120"/>
        <w:ind w:left="0" w:firstLine="0"/>
      </w:pPr>
      <w:r>
        <w:rPr>
          <w:b/>
          <w:i/>
        </w:rPr>
        <w:lastRenderedPageBreak/>
        <w:t xml:space="preserve">Define your own watershed. </w:t>
      </w:r>
      <w:r w:rsidR="00B210BF">
        <w:t xml:space="preserve">To obtain </w:t>
      </w:r>
      <w:proofErr w:type="gramStart"/>
      <w:r w:rsidR="00B210BF">
        <w:t xml:space="preserve">more granular </w:t>
      </w:r>
      <w:r w:rsidR="00985B90" w:rsidRPr="0009093B">
        <w:t>information,</w:t>
      </w:r>
      <w:proofErr w:type="gramEnd"/>
      <w:r w:rsidR="00985B90" w:rsidRPr="0009093B">
        <w:t xml:space="preserve"> users can </w:t>
      </w:r>
      <w:r w:rsidR="00B210BF">
        <w:t xml:space="preserve">customize e sub-watershed based on hydrological and topographic models from a point of interest for analysis anywhere in the world. </w:t>
      </w:r>
    </w:p>
    <w:p w:rsidR="00985B90" w:rsidRPr="0009093B" w:rsidRDefault="0009093B" w:rsidP="0009093B">
      <w:pPr>
        <w:spacing w:after="120"/>
        <w:ind w:left="0" w:firstLine="0"/>
      </w:pPr>
      <w:r>
        <w:rPr>
          <w:b/>
          <w:i/>
        </w:rPr>
        <w:t xml:space="preserve">Best available data and near-real-time updates. </w:t>
      </w:r>
      <w:r w:rsidR="00A5423E">
        <w:t>We strive to present the</w:t>
      </w:r>
      <w:r w:rsidR="005558F9">
        <w:t xml:space="preserve"> best</w:t>
      </w:r>
      <w:r w:rsidR="00985B90" w:rsidRPr="0009093B">
        <w:t xml:space="preserve"> </w:t>
      </w:r>
      <w:r w:rsidR="00B210BF">
        <w:t xml:space="preserve">and most up-to-date </w:t>
      </w:r>
      <w:r w:rsidR="00985B90" w:rsidRPr="0009093B">
        <w:t xml:space="preserve">data </w:t>
      </w:r>
      <w:r w:rsidR="00B210BF">
        <w:t>based on</w:t>
      </w:r>
      <w:r w:rsidR="005558F9">
        <w:t xml:space="preserve"> most robust scientific models</w:t>
      </w:r>
      <w:r w:rsidR="00B210BF">
        <w:t xml:space="preserve">, WRI’s existing data assets, and extensive networks of experts and partner institutions. </w:t>
      </w:r>
    </w:p>
    <w:p w:rsidR="00B210BF" w:rsidRDefault="00B210BF" w:rsidP="0009093B">
      <w:pPr>
        <w:spacing w:after="120"/>
        <w:ind w:left="0" w:firstLine="0"/>
      </w:pPr>
      <w:r>
        <w:rPr>
          <w:b/>
          <w:i/>
        </w:rPr>
        <w:t>Beyond the numbers.</w:t>
      </w:r>
      <w:r>
        <w:rPr>
          <w:b/>
        </w:rPr>
        <w:t xml:space="preserve"> </w:t>
      </w:r>
      <w:r w:rsidR="00E33635">
        <w:t xml:space="preserve">GFW </w:t>
      </w:r>
      <w:r>
        <w:t xml:space="preserve">Water </w:t>
      </w:r>
      <w:r w:rsidR="00E103A2">
        <w:t xml:space="preserve">brings together powerful decision-supporting roadmaps and resources from </w:t>
      </w:r>
      <w:r w:rsidR="00E103A2" w:rsidRPr="00A5423E">
        <w:rPr>
          <w:color w:val="auto"/>
        </w:rPr>
        <w:t xml:space="preserve">WRI’s </w:t>
      </w:r>
      <w:hyperlink r:id="rId9" w:history="1">
        <w:r w:rsidR="00E103A2" w:rsidRPr="00A5423E">
          <w:rPr>
            <w:rStyle w:val="Hyperlink"/>
            <w:color w:val="auto"/>
          </w:rPr>
          <w:t>Natural Infrastructure for Water Project</w:t>
        </w:r>
      </w:hyperlink>
      <w:r w:rsidR="00E103A2" w:rsidRPr="00A5423E">
        <w:rPr>
          <w:color w:val="auto"/>
        </w:rPr>
        <w:t xml:space="preserve">, </w:t>
      </w:r>
      <w:hyperlink r:id="rId10" w:history="1">
        <w:r w:rsidR="00E103A2" w:rsidRPr="00A5423E">
          <w:rPr>
            <w:rStyle w:val="Hyperlink"/>
            <w:color w:val="auto"/>
          </w:rPr>
          <w:t>Global Restoration Initiative</w:t>
        </w:r>
      </w:hyperlink>
      <w:r w:rsidR="00E103A2" w:rsidRPr="00A5423E">
        <w:rPr>
          <w:color w:val="auto"/>
        </w:rPr>
        <w:t>, a</w:t>
      </w:r>
      <w:r w:rsidR="00A5423E" w:rsidRPr="00A5423E">
        <w:rPr>
          <w:color w:val="auto"/>
        </w:rPr>
        <w:t xml:space="preserve">nd more to empower users to take on next steps to design, implement, and monitor </w:t>
      </w:r>
      <w:r w:rsidR="00A5423E">
        <w:t xml:space="preserve">on-the-ground initiatives to improve watershed health. </w:t>
      </w:r>
    </w:p>
    <w:p w:rsidR="00200CCA" w:rsidRDefault="00200CCA" w:rsidP="0009093B">
      <w:pPr>
        <w:spacing w:after="120"/>
        <w:ind w:left="0" w:firstLine="0"/>
      </w:pPr>
    </w:p>
    <w:p w:rsidR="00200CCA" w:rsidRDefault="00BF64DE" w:rsidP="0009093B">
      <w:pPr>
        <w:spacing w:after="120"/>
        <w:ind w:left="0" w:firstLine="0"/>
      </w:pPr>
      <w:r>
        <w:rPr>
          <w:noProof/>
          <w:lang w:eastAsia="zh-CN"/>
        </w:rPr>
        <w:drawing>
          <wp:inline distT="0" distB="0" distL="0" distR="0">
            <wp:extent cx="5943600" cy="39262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4DE" w:rsidRPr="001976BD" w:rsidRDefault="00E33635" w:rsidP="001976BD">
      <w:pPr>
        <w:spacing w:after="120"/>
        <w:ind w:left="0" w:firstLine="0"/>
        <w:jc w:val="center"/>
        <w:rPr>
          <w:rFonts w:ascii="Agency FB" w:eastAsia="Calibri" w:hAnsi="Agency FB" w:cs="Times New Roman"/>
          <w:color w:val="262626" w:themeColor="text1" w:themeTint="D9"/>
        </w:rPr>
      </w:pPr>
      <w:r>
        <w:rPr>
          <w:rFonts w:ascii="Agency FB" w:eastAsia="Calibri" w:hAnsi="Agency FB" w:cs="Times New Roman"/>
          <w:color w:val="262626" w:themeColor="text1" w:themeTint="D9"/>
        </w:rPr>
        <w:t xml:space="preserve">Figure 1. GFW </w:t>
      </w:r>
      <w:r w:rsidR="001976BD" w:rsidRPr="001976BD">
        <w:rPr>
          <w:rFonts w:ascii="Agency FB" w:eastAsia="Calibri" w:hAnsi="Agency FB" w:cs="Times New Roman"/>
          <w:color w:val="262626" w:themeColor="text1" w:themeTint="D9"/>
        </w:rPr>
        <w:t>Water</w:t>
      </w:r>
      <w:r w:rsidR="001976BD">
        <w:rPr>
          <w:rFonts w:ascii="Agency FB" w:eastAsia="Calibri" w:hAnsi="Agency FB" w:cs="Times New Roman"/>
          <w:color w:val="262626" w:themeColor="text1" w:themeTint="D9"/>
        </w:rPr>
        <w:t xml:space="preserve"> (in progress)</w:t>
      </w:r>
      <w:r w:rsidR="001976BD" w:rsidRPr="001976BD">
        <w:rPr>
          <w:rFonts w:ascii="Agency FB" w:eastAsia="Calibri" w:hAnsi="Agency FB" w:cs="Times New Roman"/>
          <w:color w:val="262626" w:themeColor="text1" w:themeTint="D9"/>
        </w:rPr>
        <w:t xml:space="preserve"> showing tree cover loss from 2001 to 2014 and active fires in the past 24 hours.</w:t>
      </w:r>
    </w:p>
    <w:p w:rsidR="00E103A2" w:rsidRDefault="00E103A2" w:rsidP="0009093B">
      <w:pPr>
        <w:spacing w:after="120"/>
        <w:ind w:left="0" w:firstLine="0"/>
      </w:pPr>
    </w:p>
    <w:p w:rsidR="001976BD" w:rsidRDefault="001976BD" w:rsidP="0009093B">
      <w:pPr>
        <w:spacing w:after="120"/>
        <w:ind w:left="0" w:firstLine="0"/>
      </w:pPr>
    </w:p>
    <w:p w:rsidR="00B210BF" w:rsidRPr="0009093B" w:rsidRDefault="00B210BF" w:rsidP="00B210BF">
      <w:pPr>
        <w:spacing w:after="120"/>
        <w:ind w:left="0" w:firstLine="0"/>
        <w:jc w:val="center"/>
      </w:pPr>
      <w:r>
        <w:t xml:space="preserve">For more information, please contact Yiyuan Jasmine Qin at </w:t>
      </w:r>
      <w:r w:rsidRPr="00B210BF">
        <w:t>yqin@wri.org</w:t>
      </w:r>
      <w:r>
        <w:t>.</w:t>
      </w:r>
    </w:p>
    <w:p w:rsidR="00084B5E" w:rsidRPr="00A25AFC" w:rsidRDefault="00084B5E" w:rsidP="005E2040">
      <w:pPr>
        <w:spacing w:after="120"/>
      </w:pPr>
    </w:p>
    <w:sectPr w:rsidR="00084B5E" w:rsidRPr="00A25AF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3D9" w:rsidRDefault="009C33D9" w:rsidP="00002039">
      <w:pPr>
        <w:spacing w:line="240" w:lineRule="auto"/>
      </w:pPr>
      <w:r>
        <w:separator/>
      </w:r>
    </w:p>
  </w:endnote>
  <w:endnote w:type="continuationSeparator" w:id="0">
    <w:p w:rsidR="009C33D9" w:rsidRDefault="009C33D9" w:rsidP="0000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-Roman">
    <w:altName w:val="55 Helvetica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916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2039" w:rsidRPr="00002039" w:rsidRDefault="00002039">
        <w:pPr>
          <w:pStyle w:val="Footer"/>
          <w:jc w:val="center"/>
        </w:pPr>
        <w:r w:rsidRPr="00002039">
          <w:fldChar w:fldCharType="begin"/>
        </w:r>
        <w:r w:rsidRPr="00002039">
          <w:instrText xml:space="preserve"> PAGE   \* MERGEFORMAT </w:instrText>
        </w:r>
        <w:r w:rsidRPr="00002039">
          <w:fldChar w:fldCharType="separate"/>
        </w:r>
        <w:r w:rsidR="00E33635">
          <w:rPr>
            <w:noProof/>
          </w:rPr>
          <w:t>3</w:t>
        </w:r>
        <w:r w:rsidRPr="00002039">
          <w:rPr>
            <w:noProof/>
          </w:rPr>
          <w:fldChar w:fldCharType="end"/>
        </w:r>
      </w:p>
    </w:sdtContent>
  </w:sdt>
  <w:p w:rsidR="00002039" w:rsidRPr="00002039" w:rsidRDefault="000020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3D9" w:rsidRDefault="009C33D9" w:rsidP="00002039">
      <w:pPr>
        <w:spacing w:line="240" w:lineRule="auto"/>
      </w:pPr>
      <w:r>
        <w:separator/>
      </w:r>
    </w:p>
  </w:footnote>
  <w:footnote w:type="continuationSeparator" w:id="0">
    <w:p w:rsidR="009C33D9" w:rsidRDefault="009C33D9" w:rsidP="000020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06D46"/>
    <w:multiLevelType w:val="hybridMultilevel"/>
    <w:tmpl w:val="B6E4F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555355"/>
    <w:multiLevelType w:val="hybridMultilevel"/>
    <w:tmpl w:val="6EB8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C35A5"/>
    <w:multiLevelType w:val="hybridMultilevel"/>
    <w:tmpl w:val="7E2267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4AD534C"/>
    <w:multiLevelType w:val="hybridMultilevel"/>
    <w:tmpl w:val="B52AC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9E3E89"/>
    <w:multiLevelType w:val="hybridMultilevel"/>
    <w:tmpl w:val="8DC2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40"/>
    <w:rsid w:val="00002039"/>
    <w:rsid w:val="00044ED6"/>
    <w:rsid w:val="00084B5E"/>
    <w:rsid w:val="0009093B"/>
    <w:rsid w:val="000E02F3"/>
    <w:rsid w:val="0016412D"/>
    <w:rsid w:val="00183C27"/>
    <w:rsid w:val="001976BD"/>
    <w:rsid w:val="001D7882"/>
    <w:rsid w:val="001F3FFE"/>
    <w:rsid w:val="00200CCA"/>
    <w:rsid w:val="00273748"/>
    <w:rsid w:val="003057F3"/>
    <w:rsid w:val="003119CC"/>
    <w:rsid w:val="00320272"/>
    <w:rsid w:val="00363807"/>
    <w:rsid w:val="0054538C"/>
    <w:rsid w:val="005558F9"/>
    <w:rsid w:val="0056153F"/>
    <w:rsid w:val="005E2040"/>
    <w:rsid w:val="00667C79"/>
    <w:rsid w:val="00690C26"/>
    <w:rsid w:val="006C3F26"/>
    <w:rsid w:val="006F7177"/>
    <w:rsid w:val="00732B99"/>
    <w:rsid w:val="007B436D"/>
    <w:rsid w:val="00851871"/>
    <w:rsid w:val="00853A29"/>
    <w:rsid w:val="008B34E9"/>
    <w:rsid w:val="008F7F04"/>
    <w:rsid w:val="009632B4"/>
    <w:rsid w:val="00981DBC"/>
    <w:rsid w:val="00985B90"/>
    <w:rsid w:val="009C33D9"/>
    <w:rsid w:val="00A06CAF"/>
    <w:rsid w:val="00A25AFC"/>
    <w:rsid w:val="00A5423E"/>
    <w:rsid w:val="00A71D39"/>
    <w:rsid w:val="00A839D5"/>
    <w:rsid w:val="00A95C1A"/>
    <w:rsid w:val="00B071D8"/>
    <w:rsid w:val="00B210BF"/>
    <w:rsid w:val="00B76561"/>
    <w:rsid w:val="00B806F2"/>
    <w:rsid w:val="00BD5406"/>
    <w:rsid w:val="00BE2876"/>
    <w:rsid w:val="00BF64DE"/>
    <w:rsid w:val="00C043EC"/>
    <w:rsid w:val="00C36245"/>
    <w:rsid w:val="00D83720"/>
    <w:rsid w:val="00DD37A2"/>
    <w:rsid w:val="00E103A2"/>
    <w:rsid w:val="00E27722"/>
    <w:rsid w:val="00E31D43"/>
    <w:rsid w:val="00E33635"/>
    <w:rsid w:val="00F42E22"/>
    <w:rsid w:val="00FA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BCBCB-973D-4AE0-AE90-48FBA252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2040"/>
    <w:pPr>
      <w:spacing w:after="0" w:line="276" w:lineRule="auto"/>
      <w:ind w:left="270" w:hanging="270"/>
    </w:pPr>
    <w:rPr>
      <w:rFonts w:ascii="Cambria" w:eastAsia="Cambria" w:hAnsi="Cambria" w:cs="Cambria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barcopy">
    <w:name w:val="sidebar copy"/>
    <w:basedOn w:val="Normal"/>
    <w:uiPriority w:val="99"/>
    <w:rsid w:val="005E2040"/>
    <w:pPr>
      <w:widowControl w:val="0"/>
      <w:autoSpaceDE w:val="0"/>
      <w:autoSpaceDN w:val="0"/>
      <w:adjustRightInd w:val="0"/>
      <w:spacing w:line="170" w:lineRule="atLeast"/>
      <w:ind w:left="0" w:firstLine="0"/>
      <w:textAlignment w:val="center"/>
    </w:pPr>
    <w:rPr>
      <w:rFonts w:ascii="Georgia" w:eastAsia="Times New Roman" w:hAnsi="Georgia" w:cs="HelveticaNeue-Roman"/>
      <w:color w:val="3F3F3F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5E20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204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0020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039"/>
    <w:rPr>
      <w:rFonts w:ascii="Cambria" w:eastAsia="Cambria" w:hAnsi="Cambria" w:cs="Cambria"/>
      <w:color w:val="0000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20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039"/>
    <w:rPr>
      <w:rFonts w:ascii="Cambria" w:eastAsia="Cambria" w:hAnsi="Cambria" w:cs="Cambria"/>
      <w:color w:val="000000"/>
      <w:lang w:eastAsia="en-US"/>
    </w:rPr>
  </w:style>
  <w:style w:type="table" w:styleId="TableGrid">
    <w:name w:val="Table Grid"/>
    <w:basedOn w:val="TableNormal"/>
    <w:uiPriority w:val="39"/>
    <w:rsid w:val="0098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81DBC"/>
    <w:pPr>
      <w:spacing w:line="240" w:lineRule="auto"/>
      <w:ind w:left="0" w:firstLine="0"/>
    </w:pPr>
    <w:rPr>
      <w:rFonts w:ascii="Calibri" w:eastAsia="Calibri" w:hAnsi="Calibri" w:cs="Times New Roman"/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rsid w:val="00981DB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99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7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forestwatch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wri.org/our-work/project/global-restoration-initia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ri.org/our-work/project/natural-infrastructure-wa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Yiyuan Jasmine Qin</dc:creator>
  <cp:keywords/>
  <dc:description/>
  <cp:lastModifiedBy>Yiyuan Jasmine Qin</cp:lastModifiedBy>
  <cp:revision>3</cp:revision>
  <dcterms:created xsi:type="dcterms:W3CDTF">2016-01-21T02:01:00Z</dcterms:created>
  <dcterms:modified xsi:type="dcterms:W3CDTF">2016-01-21T02:02:00Z</dcterms:modified>
</cp:coreProperties>
</file>